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6B" w:rsidRPr="00F5716B" w:rsidRDefault="00F5716B" w:rsidP="00F5716B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716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Согласие на обработку персональных данных метрическими программами</w:t>
      </w:r>
    </w:p>
    <w:p w:rsidR="00F5716B" w:rsidRDefault="00F5716B" w:rsidP="00F5716B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 лицо (далее – «</w:t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Субъект персональных данных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или «</w:t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»), действуя свободно, своей волей и в своем интересе, а также подтверждая свою дееспособность, принимает решение предоставить и предоставляет свое согласие на обработку персональных данных метрическими программами (далее — «</w:t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Согласие»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«ЧОП «ВИТЯЗЬ 24»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ИНН: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7724361572 ОГРН 1167746390206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зарегистрированному и действующему по законодательству России (далее — «</w:t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Оператор»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который администрирует сайт </w:t>
      </w:r>
      <w:hyperlink r:id="rId4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</w:t>
        </w:r>
        <w:r w:rsidRPr="00F5716B">
          <w:rPr>
            <w:rFonts w:ascii="Arial" w:hAnsi="Arial" w:cs="Arial"/>
            <w:sz w:val="24"/>
            <w:szCs w:val="24"/>
          </w:rPr>
          <w:t xml:space="preserve"> </w:t>
        </w:r>
        <w:r w:rsidRPr="00F5716B">
          <w:rPr>
            <w:rFonts w:ascii="Arial" w:hAnsi="Arial" w:cs="Arial"/>
            <w:color w:val="F79646" w:themeColor="accent6"/>
            <w:sz w:val="24"/>
            <w:szCs w:val="24"/>
          </w:rPr>
          <w:t>vityaz24.ru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— «</w:t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Сайт»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со следующими условиями: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1.Согласие дается путем совершения следующего действия: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использование Сайта Субъектом персональных данных после информирования его путем показа всплывающего элемента, содержащего текст: «Мы используем </w:t>
      </w:r>
      <w:proofErr w:type="spellStart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сбора метрики сайта. Оставаясь на сайте, вы даете Согласие на обработку персональных данных метрическими программами», где текст «Согласие на обработку персональных данных метрическими программами» является ссылкой на настоящее Согласие. В элементе также присутствует кнопка «Ясно», нажатие на которую прекращает отображение элемента.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дается на обработку персональных данных с использованием средств автоматизации.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является конкретным, предметным, информированным, сознательным и однозначным.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дается на обработку следующих категорий персональных данных со следующей целью, в ходе обработки с персональными данными будут совершены следующие действия, а Согласие дается на указанный срок: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 Цель: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проверка, исследование и анализ данных, позволяющих поддерживать и улучшать функции Сайта, а также разрабатывать новые функции Сайта, проведение статистических и иных исследований на основе данных.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Категории и перечень обрабатываемых данных: имя, фамилия, отчество, абонентский номер телефона, адрес электронной почты.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Категории Субъектов, персональные данные которых обрабатываются: Субъекты 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персональных данных - пользователи Сайта.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Способы обработки: сбор, получение,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 обработки и хранения: 3 (Три) года со дня получения согласия на обработку.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даете согласие на то, что: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аналитики использования Сайта Оператор применяет следующие сторонние инструменты (метрические программы / метрические сервисы), которые в том числе могут использовать технологии </w:t>
      </w:r>
      <w:proofErr w:type="spellStart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Наименование инструмента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Ссылка на документ о конфиденциальности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А1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Яндекс.Метрика</w:t>
      </w:r>
      <w:proofErr w:type="spellEnd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5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https://yandex.ru/legal/confidential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даете согласие на передачу данных третьему лицу - поставщику стороннего метрического программного обеспечения / метрического сервиса (п. 6.2 настоящего Согласия). В случае, если Вы не согласны на обработку вышеуказанных данных, Вам необходимо изменить настройки браузера или покинуть Сайт.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Персональные данные, указанные в п. 4, могут быть переданы в форме предоставления и доступа следующим третьим лицам: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6.1. 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 1 ст. 23 Федерального закона от 27.07.2006 года № 152-ФЗ «О персональных данных» и п.1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года № 228 – уполномоченному органу по защите прав субъектов персональных данных, на который возлагается функция по контролю и надзору за соответствием обработки персональных данных требованиям законодательства 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РФ в области персональных данных, федеральному органу исполнительной власти, осуществляющему функции по контролю и надзору в сфере информационных технологий и связи (</w:t>
      </w:r>
      <w:proofErr w:type="spellStart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</w:t>
      </w:r>
      <w:proofErr w:type="spellEnd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Официальный сайт: </w:t>
      </w:r>
      <w:hyperlink r:id="rId6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https://rkn.gov.ru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Адрес: 109992, г. Москва, Китайгородский проезд, д.7, стр.2. Адрес электронной почты: </w:t>
      </w:r>
      <w:hyperlink r:id="rId7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rsoc_in@rkn.gov.ru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6.2. 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Условиями использования сервиса Яндекс Метрика и </w:t>
      </w:r>
      <w:proofErr w:type="spellStart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AppMetrica</w:t>
      </w:r>
      <w:proofErr w:type="spellEnd"/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8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https://yandex.ru/legal/metrica_termsofuse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Политикой конфиденциальности Яндекса (</w:t>
      </w:r>
      <w:hyperlink r:id="rId9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https://yandex.ru/legal/confidential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ООО "Яндекс". Сайт: </w:t>
      </w:r>
      <w:hyperlink r:id="rId10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https://yandex.ru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Адрес: 119021, г. Москва, ул. Льва Толстого, д. 16. Адрес электронной почты: </w:t>
      </w:r>
      <w:hyperlink r:id="rId11" w:history="1">
        <w:r w:rsidRPr="00F5716B">
          <w:rPr>
            <w:rFonts w:ascii="Arial" w:eastAsia="Times New Roman" w:hAnsi="Arial" w:cs="Arial"/>
            <w:color w:val="FF8562"/>
            <w:sz w:val="24"/>
            <w:szCs w:val="24"/>
            <w:lang w:eastAsia="ru-RU"/>
          </w:rPr>
          <w:t>support@yandex.ru</w:t>
        </w:r>
      </w:hyperlink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Персональные данные не могут быть переданы в форме свободного распространения неограниченному кругу лиц.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8.Право на отказ от использования метрических программ. 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Субъект персональных данных не согласен на обработку вышеуказанных данных и/или на передачу данных указанным третьим лицам, Субъекту персональных данных необходимо изменить настройки браузера или покинуть Сайт.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9.Срок действия Согласия.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Настоящее согласие дается на весь срок обработки персональных данных, указанный для конкретной цели обработки в п. 4, и действует в течение всего срока обработки персональных данных для конкретной цели обработки из п. 4.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Отзыв Согласия. 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может быть отозвано Вами или Вашим представителем путем направления Оператору письменного заявления или электронного заявления, подписанного согласно законодательству Российской Федерации в области электронной подписи, по адресу, указанному в разделе Согласия «Реквизиты Оператора».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152-ФЗ «О персональных данных».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5716B" w:rsidRDefault="00F5716B" w:rsidP="00F5716B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DAD" w:rsidRPr="00472DAD" w:rsidRDefault="00F5716B" w:rsidP="00F5716B">
      <w:pPr>
        <w:spacing w:after="0" w:line="375" w:lineRule="atLeast"/>
        <w:textAlignment w:val="center"/>
        <w:rPr>
          <w:rFonts w:ascii="Arial" w:hAnsi="Arial" w:cs="Arial"/>
          <w:color w:val="F79646" w:themeColor="accent6"/>
          <w:sz w:val="24"/>
          <w:szCs w:val="24"/>
        </w:rPr>
      </w:pP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11. Согласие с Политикой обработки персональных данных. 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Политика обработки персональных данных Оператора постоянно доступна Субъекту персональных данных на Сайте, в том числе – в каждом месте сбора персональных данных. Давая настоящее Согласие, Вы подтверждаете, что ознакомлены и согласны с ее положениями.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Уничтожение персональных данных.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 Реквизиты Оператора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Полное наименование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72DAD" w:rsidRPr="0047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47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2DAD" w:rsidRPr="0047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"Частное охранное предприятие "Витязь 24"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Сокращенное наименование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72DAD" w:rsidRPr="0047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"ЧОП "Витязь 24"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 места нахождения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72DAD" w:rsidRPr="0047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115230, Москва г, проезд Хлебозаводский, д. 7, к. 9, кв. 1 эт.9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 электронной почты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2" w:history="1">
        <w:r w:rsidR="00472DAD" w:rsidRPr="00472DAD">
          <w:rPr>
            <w:rStyle w:val="a4"/>
            <w:rFonts w:ascii="Arial" w:hAnsi="Arial" w:cs="Arial"/>
            <w:color w:val="F79646" w:themeColor="accent6"/>
            <w:sz w:val="24"/>
            <w:szCs w:val="24"/>
          </w:rPr>
          <w:t>vitayz24@mail.ru</w:t>
        </w:r>
      </w:hyperlink>
    </w:p>
    <w:p w:rsidR="00F5716B" w:rsidRDefault="00F5716B" w:rsidP="00F5716B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ИНН</w:t>
      </w:r>
      <w:r w:rsidR="00472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72DAD" w:rsidRPr="00472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7724361572  </w:t>
      </w:r>
      <w:r w:rsidR="00472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КПП </w:t>
      </w:r>
      <w:r w:rsidR="00472DAD" w:rsidRPr="00472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772401001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ОГРН</w:t>
      </w:r>
      <w:r w:rsidR="00472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72DAD" w:rsidRPr="00472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1167746390206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7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для реализации прав Субъекта персональных данных: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Субъект персональных данных может реализовать все права, присущие Субъекту персональных данных, а также получить разъяснения по вопросам, касающимся обработки персональных данных, обратившись к Оператору по адресу электронной почты либо посредством направления обращений почтой в адрес места нахождения Оператора.</w:t>
      </w: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5716B" w:rsidRDefault="00F5716B" w:rsidP="00F5716B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716B" w:rsidRPr="00F5716B" w:rsidRDefault="00F5716B" w:rsidP="00F5716B">
      <w:pPr>
        <w:spacing w:after="0" w:line="375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A5626F" w:rsidRDefault="00A5626F"/>
    <w:sectPr w:rsidR="00A5626F" w:rsidSect="00A5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B"/>
    <w:rsid w:val="001F7CD1"/>
    <w:rsid w:val="00472DAD"/>
    <w:rsid w:val="004F7310"/>
    <w:rsid w:val="007E2CA6"/>
    <w:rsid w:val="008200F3"/>
    <w:rsid w:val="00A5626F"/>
    <w:rsid w:val="00E07A14"/>
    <w:rsid w:val="00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00F4"/>
  <w15:docId w15:val="{1BF26B18-83CE-4EFD-A534-B2B97818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16B"/>
    <w:rPr>
      <w:b/>
      <w:bCs/>
    </w:rPr>
  </w:style>
  <w:style w:type="character" w:styleId="a4">
    <w:name w:val="Hyperlink"/>
    <w:basedOn w:val="a0"/>
    <w:uiPriority w:val="99"/>
    <w:unhideWhenUsed/>
    <w:rsid w:val="00F57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metrica_termsofu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oc_in@rkn.gov.ru" TargetMode="External"/><Relationship Id="rId12" Type="http://schemas.openxmlformats.org/officeDocument/2006/relationships/hyperlink" Target="mailto:vitayz2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kn.gov.ru/" TargetMode="External"/><Relationship Id="rId11" Type="http://schemas.openxmlformats.org/officeDocument/2006/relationships/hyperlink" Target="mailto:support@yandex.ru" TargetMode="External"/><Relationship Id="rId5" Type="http://schemas.openxmlformats.org/officeDocument/2006/relationships/hyperlink" Target="https://yandex.ru/legal/confidential/" TargetMode="External"/><Relationship Id="rId10" Type="http://schemas.openxmlformats.org/officeDocument/2006/relationships/hyperlink" Target="https://yandex.ru/" TargetMode="External"/><Relationship Id="rId4" Type="http://schemas.openxmlformats.org/officeDocument/2006/relationships/hyperlink" Target="https://mossobr.ru/" TargetMode="External"/><Relationship Id="rId9" Type="http://schemas.openxmlformats.org/officeDocument/2006/relationships/hyperlink" Target="https://yandex.ru/legal/confident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Пользователь Windows</cp:lastModifiedBy>
  <cp:revision>2</cp:revision>
  <dcterms:created xsi:type="dcterms:W3CDTF">2025-04-21T12:37:00Z</dcterms:created>
  <dcterms:modified xsi:type="dcterms:W3CDTF">2025-04-21T12:37:00Z</dcterms:modified>
</cp:coreProperties>
</file>